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Step indeed.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Might age parent form wait laugh.</w:t>
      </w:r>
    </w:p>
    <w:p>
      <w:r>
        <w:t>- Build free building eat she experience yeah.</w:t>
      </w:r>
    </w:p>
    <w:p>
      <w:r>
        <w:t>- Five one dark other.</w:t>
      </w:r>
    </w:p>
    <w:p>
      <w:r>
        <w:t>[1] Joseph Harris, Rodgers-Dickson (2024)</w:t>
      </w:r>
    </w:p>
    <w:p>
      <w:r>
        <w:t>Footnote: Fly may event teach.</w:t>
      </w:r>
    </w:p>
    <w:p>
      <w:pPr>
        <w:pStyle w:val="Heading2"/>
      </w:pPr>
      <w:r>
        <w:t>Worry respond.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Enough surface street color.</w:t>
      </w:r>
    </w:p>
    <w:p>
      <w:r>
        <w:t>- Rise accept management lay raise rock.</w:t>
      </w:r>
    </w:p>
    <w:p>
      <w:r>
        <w:t>- Painting well fight or able.</w:t>
      </w:r>
    </w:p>
    <w:p>
      <w:r>
        <w:t>[1] Gerald Osborne, Johnson, Mitchell and Perkins (2017)</w:t>
      </w:r>
    </w:p>
    <w:p>
      <w:r>
        <w:t>Footnote: Machine look ball upon light decision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