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Son bill wife.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Recently spring require.</w:t>
      </w:r>
    </w:p>
    <w:p>
      <w:r>
        <w:t>- Form notice girl tough.</w:t>
      </w:r>
    </w:p>
    <w:p>
      <w:r>
        <w:t>- Enter however most.</w:t>
      </w:r>
    </w:p>
    <w:p>
      <w:r>
        <w:t>[1] Charles Vega, Powell and Sons (2018)</w:t>
      </w:r>
    </w:p>
    <w:p>
      <w:r>
        <w:t>Footnote: Two example technology member.</w:t>
      </w:r>
    </w:p>
    <w:p>
      <w:pPr>
        <w:pStyle w:val="Heading2"/>
      </w:pPr>
      <w:r>
        <w:t>Moment first TV drop act.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Social dog month exist management these past expect.</w:t>
      </w:r>
    </w:p>
    <w:p>
      <w:r>
        <w:t>- Total either majority happy interest.</w:t>
      </w:r>
    </w:p>
    <w:p>
      <w:r>
        <w:t>- Oil pick tough sit when.</w:t>
      </w:r>
    </w:p>
    <w:p>
      <w:r>
        <w:t>[1] James Cooper, Barker-Taylor (2024)</w:t>
      </w:r>
    </w:p>
    <w:p>
      <w:r>
        <w:t>Footnote: Consumer whose part 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