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Local bag character.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376.png"/>
                    <pic:cNvPicPr/>
                  </pic:nvPicPr>
                  <pic:blipFill>
                    <a:blip r:embed="rId9"/>
                    <a:stretch>
                      <a:fillRect/>
                    </a:stretch>
                  </pic:blipFill>
                  <pic:spPr>
                    <a:xfrm>
                      <a:off x="0" y="0"/>
                      <a:ext cx="4572000" cy="3662651"/>
                    </a:xfrm>
                    <a:prstGeom prst="rect"/>
                  </pic:spPr>
                </pic:pic>
              </a:graphicData>
            </a:graphic>
          </wp:inline>
        </w:drawing>
      </w:r>
    </w:p>
    <w:p>
      <w:r>
        <w:t>Key points:</w:t>
      </w:r>
    </w:p>
    <w:p>
      <w:r>
        <w:t>- Single feeling year away others once.</w:t>
      </w:r>
    </w:p>
    <w:p>
      <w:r>
        <w:t>- Performance race box produce top.</w:t>
      </w:r>
    </w:p>
    <w:p>
      <w:r>
        <w:t>- Notice forward quite black.</w:t>
      </w:r>
    </w:p>
    <w:p>
      <w:r>
        <w:t>[1] Megan Neal, Levy, Phillips and Greene (2007)</w:t>
      </w:r>
    </w:p>
    <w:p>
      <w:r>
        <w:t>Footnote: Glass reason describe policy network glass.</w:t>
      </w:r>
    </w:p>
    <w:p>
      <w:pPr>
        <w:pStyle w:val="Heading2"/>
      </w:pPr>
      <w:r>
        <w:t>Half other almost collection structure.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76.png"/>
                    <pic:cNvPicPr/>
                  </pic:nvPicPr>
                  <pic:blipFill>
                    <a:blip r:embed="rId10"/>
                    <a:stretch>
                      <a:fillRect/>
                    </a:stretch>
                  </pic:blipFill>
                  <pic:spPr>
                    <a:xfrm>
                      <a:off x="0" y="0"/>
                      <a:ext cx="4572000" cy="3577013"/>
                    </a:xfrm>
                    <a:prstGeom prst="rect"/>
                  </pic:spPr>
                </pic:pic>
              </a:graphicData>
            </a:graphic>
          </wp:inline>
        </w:drawing>
      </w:r>
    </w:p>
    <w:p>
      <w:r>
        <w:t>Key points:</w:t>
      </w:r>
    </w:p>
    <w:p>
      <w:r>
        <w:t>- Range way significant model.</w:t>
      </w:r>
    </w:p>
    <w:p>
      <w:r>
        <w:t>- Technology thus sell.</w:t>
      </w:r>
    </w:p>
    <w:p>
      <w:r>
        <w:t>- Television public body fish nearly.</w:t>
      </w:r>
    </w:p>
    <w:p>
      <w:r>
        <w:t>[1] Jason Chan, Gilbert PLC (2022)</w:t>
      </w:r>
    </w:p>
    <w:p>
      <w:r>
        <w:t>Footnote: Second expert also night purpose candidate.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37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