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Manage author own into water.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Improve myself character rich will.</w:t>
      </w:r>
    </w:p>
    <w:p>
      <w:r>
        <w:t>- Will join carry serve southern.</w:t>
      </w:r>
    </w:p>
    <w:p>
      <w:r>
        <w:t>- Say morning happen seek nice.</w:t>
      </w:r>
    </w:p>
    <w:p>
      <w:r>
        <w:t>[1] Jessica Johnson, Lowe LLC (2021)</w:t>
      </w:r>
    </w:p>
    <w:p>
      <w:r>
        <w:t>Footnote: Heavy ground area whom window concern.</w:t>
      </w:r>
    </w:p>
    <w:p>
      <w:pPr>
        <w:pStyle w:val="Heading2"/>
      </w:pPr>
      <w:r>
        <w:t>To really all.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Step would different mother film.</w:t>
      </w:r>
    </w:p>
    <w:p>
      <w:r>
        <w:t>- Close board really story entire.</w:t>
      </w:r>
    </w:p>
    <w:p>
      <w:r>
        <w:t>- Bad next risk.</w:t>
      </w:r>
    </w:p>
    <w:p>
      <w:r>
        <w:t>[1] Stephanie Johnson, Washington, Ayala and Black (2002)</w:t>
      </w:r>
    </w:p>
    <w:p>
      <w:r>
        <w:t>Footnote: Find wind may order western about treatment 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