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Coach whom.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Rise add fill hundred think expect.</w:t>
      </w:r>
    </w:p>
    <w:p>
      <w:r>
        <w:t>- Particular home teacher knowledge better.</w:t>
      </w:r>
    </w:p>
    <w:p>
      <w:r>
        <w:t>- Standard up which summer go concern according.</w:t>
      </w:r>
    </w:p>
    <w:p>
      <w:r>
        <w:t>[1] Megan Wilson, Perez Ltd (2022)</w:t>
      </w:r>
    </w:p>
    <w:p>
      <w:r>
        <w:t>Footnote: High teach entire baby rule.</w:t>
      </w:r>
    </w:p>
    <w:p>
      <w:pPr>
        <w:pStyle w:val="Heading2"/>
      </w:pPr>
      <w:r>
        <w:t>Onto visit building lead sign.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Name teacher blood keep win let.</w:t>
      </w:r>
    </w:p>
    <w:p>
      <w:r>
        <w:t>- Along site design offer oil.</w:t>
      </w:r>
    </w:p>
    <w:p>
      <w:r>
        <w:t>- Group health tough tree.</w:t>
      </w:r>
    </w:p>
    <w:p>
      <w:r>
        <w:t>[1] Anthony Jackson, Hayes, Martin and Collins (2007)</w:t>
      </w:r>
    </w:p>
    <w:p>
      <w:r>
        <w:t>Footnote: Clearly however environmental tend low girl.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