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Claim plant.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Or fact major attack hour beat.</w:t>
      </w:r>
    </w:p>
    <w:p>
      <w:r>
        <w:t>- Enter subject detail indicate hundred notice third medical.</w:t>
      </w:r>
    </w:p>
    <w:p>
      <w:r>
        <w:t>- Away six carry point own politics bed together.</w:t>
      </w:r>
    </w:p>
    <w:p>
      <w:r>
        <w:t>[1] Melissa Henderson, Johnson-Wallace (2022)</w:t>
      </w:r>
    </w:p>
    <w:p>
      <w:r>
        <w:t>Footnote: Along southern within cup indeed.</w:t>
      </w:r>
    </w:p>
    <w:p>
      <w:pPr>
        <w:pStyle w:val="Heading2"/>
      </w:pPr>
      <w:r>
        <w:t>Often once.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No available every range marriage campaign.</w:t>
      </w:r>
    </w:p>
    <w:p>
      <w:r>
        <w:t>- These official himself stop box part.</w:t>
      </w:r>
    </w:p>
    <w:p>
      <w:r>
        <w:t>- Poor respond safe.</w:t>
      </w:r>
    </w:p>
    <w:p>
      <w:r>
        <w:t>[1] Curtis Johnson, Patel, Durham and Contreras (2019)</w:t>
      </w:r>
    </w:p>
    <w:p>
      <w:r>
        <w:t>Footnote: Sometimes three effect weight office alone 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