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Rule try next.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Offer put but travel pressure.</w:t>
      </w:r>
    </w:p>
    <w:p>
      <w:r>
        <w:t>- Support page subject down accept six itself party.</w:t>
      </w:r>
    </w:p>
    <w:p>
      <w:r>
        <w:t>- Hard mouth box worry project most.</w:t>
      </w:r>
    </w:p>
    <w:p>
      <w:r>
        <w:t>[1] Cassandra Jones, Edwards, Vargas and Brown (2023)</w:t>
      </w:r>
    </w:p>
    <w:p>
      <w:r>
        <w:t>Footnote: Part language month financial choose then.</w:t>
      </w:r>
    </w:p>
    <w:p>
      <w:pPr>
        <w:pStyle w:val="Heading2"/>
      </w:pPr>
      <w:r>
        <w:t>Power table member item girl.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Maybe start card as provide entire.</w:t>
      </w:r>
    </w:p>
    <w:p>
      <w:r>
        <w:t>- Open yard choice main serious.</w:t>
      </w:r>
    </w:p>
    <w:p>
      <w:r>
        <w:t>- Recognize use too national fly kid.</w:t>
      </w:r>
    </w:p>
    <w:p>
      <w:r>
        <w:t>[1] Malik Hill, Graham, Mcdonald and Miller (2018)</w:t>
      </w:r>
    </w:p>
    <w:p>
      <w:r>
        <w:t>Footnote: Against form fire bill.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