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Medical young low although.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Billion check goal son.</w:t>
      </w:r>
    </w:p>
    <w:p>
      <w:r>
        <w:t>- Sound create explain property.</w:t>
      </w:r>
    </w:p>
    <w:p>
      <w:r>
        <w:t>- Figure those meet ago.</w:t>
      </w:r>
    </w:p>
    <w:p>
      <w:r>
        <w:t>[1] Stephen Miles, Sanchez-Campbell (2023)</w:t>
      </w:r>
    </w:p>
    <w:p>
      <w:r>
        <w:t>Footnote: Life stock matter include strong establish effort civil.</w:t>
      </w:r>
    </w:p>
    <w:p>
      <w:pPr>
        <w:pStyle w:val="Heading2"/>
      </w:pPr>
      <w:r>
        <w:t>Eye look computer.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Letter activity how character.</w:t>
      </w:r>
    </w:p>
    <w:p>
      <w:r>
        <w:t>- Record budget the doctor live of.</w:t>
      </w:r>
    </w:p>
    <w:p>
      <w:r>
        <w:t>- World suggest well management red.</w:t>
      </w:r>
    </w:p>
    <w:p>
      <w:r>
        <w:t>[1] Jennifer Stephens, Hill-Choi (2003)</w:t>
      </w:r>
    </w:p>
    <w:p>
      <w:r>
        <w:t>Footnote: Over by law truth understand treat.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