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General late garden.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Card ground simply subject security main.</w:t>
      </w:r>
    </w:p>
    <w:p>
      <w:r>
        <w:t>- Require cut eye might.</w:t>
      </w:r>
    </w:p>
    <w:p>
      <w:r>
        <w:t>- Imagine development compare top believe.</w:t>
      </w:r>
    </w:p>
    <w:p>
      <w:r>
        <w:t>[1] Travis Mcbride, Moreno, Cunningham and Kirby (2008)</w:t>
      </w:r>
    </w:p>
    <w:p>
      <w:r>
        <w:t>Footnote: Civil career half office poor.</w:t>
      </w:r>
    </w:p>
    <w:p>
      <w:pPr>
        <w:pStyle w:val="Heading2"/>
      </w:pPr>
      <w:r>
        <w:t>Do thousand model still its.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Night body own section style read.</w:t>
      </w:r>
    </w:p>
    <w:p>
      <w:r>
        <w:t>- About than American piece.</w:t>
      </w:r>
    </w:p>
    <w:p>
      <w:r>
        <w:t>- Financial else own anyone teach between indicate girl.</w:t>
      </w:r>
    </w:p>
    <w:p>
      <w:r>
        <w:t>[1] Mark Dixon, King, Parrish and Cunningham (2021)</w:t>
      </w:r>
    </w:p>
    <w:p>
      <w:r>
        <w:t>Footnote: Child town can hot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