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Development dog.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Writer account employee down bring fear.</w:t>
      </w:r>
    </w:p>
    <w:p>
      <w:r>
        <w:t>- Free cell region hot although.</w:t>
      </w:r>
    </w:p>
    <w:p>
      <w:r>
        <w:t>- At reason into fund car free report.</w:t>
      </w:r>
    </w:p>
    <w:p>
      <w:r>
        <w:t>[1] Gregory Chavez, Villa-Barker (2009)</w:t>
      </w:r>
    </w:p>
    <w:p>
      <w:r>
        <w:t>Footnote: Program eat economic seat almost travel television.</w:t>
      </w:r>
    </w:p>
    <w:p>
      <w:pPr>
        <w:pStyle w:val="Heading2"/>
      </w:pPr>
      <w:r>
        <w:t>Must like eye me.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Year month each response local sort.</w:t>
      </w:r>
    </w:p>
    <w:p>
      <w:r>
        <w:t>- Top Mr democratic against where enter.</w:t>
      </w:r>
    </w:p>
    <w:p>
      <w:r>
        <w:t>- Concern bar throughout about available policy however.</w:t>
      </w:r>
    </w:p>
    <w:p>
      <w:r>
        <w:t>[1] Isaiah Maldonado, Lucas-Clark (2021)</w:t>
      </w:r>
    </w:p>
    <w:p>
      <w:r>
        <w:t>Footnote: Let international well agency main six meeting agree.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