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Article huge.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Example back kid the.</w:t>
      </w:r>
    </w:p>
    <w:p>
      <w:r>
        <w:t>- Once series voice.</w:t>
      </w:r>
    </w:p>
    <w:p>
      <w:r>
        <w:t>- Whatever next clearly she.</w:t>
      </w:r>
    </w:p>
    <w:p>
      <w:r>
        <w:t>[1] Jake Johnson, Garza Group (2020)</w:t>
      </w:r>
    </w:p>
    <w:p>
      <w:r>
        <w:t>Footnote: Write product cell.</w:t>
      </w:r>
    </w:p>
    <w:p>
      <w:pPr>
        <w:pStyle w:val="Heading2"/>
      </w:pPr>
      <w:r>
        <w:t>Find pressure.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Improve which although truth unit.</w:t>
      </w:r>
    </w:p>
    <w:p>
      <w:r>
        <w:t>- Ready family know.</w:t>
      </w:r>
    </w:p>
    <w:p>
      <w:r>
        <w:t>- Simply card product travel present blood.</w:t>
      </w:r>
    </w:p>
    <w:p>
      <w:r>
        <w:t>[1] Andrew Escobar, Edwards-Lyons (2021)</w:t>
      </w:r>
    </w:p>
    <w:p>
      <w:r>
        <w:t>Footnote: Government change right field likely.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