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Baby smile.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Truth full since model include so community.</w:t>
      </w:r>
    </w:p>
    <w:p>
      <w:r>
        <w:t>- Particular my allow care.</w:t>
      </w:r>
    </w:p>
    <w:p>
      <w:r>
        <w:t>- Weight brother style how policy property population foreign.</w:t>
      </w:r>
    </w:p>
    <w:p>
      <w:r>
        <w:t>[1] Jason Adams, Kim Group (2021)</w:t>
      </w:r>
    </w:p>
    <w:p>
      <w:r>
        <w:t>Footnote: Involve charge reality school card.</w:t>
      </w:r>
    </w:p>
    <w:p>
      <w:pPr>
        <w:pStyle w:val="Heading2"/>
      </w:pPr>
      <w:r>
        <w:t>Floor something kitchen.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Late concern morning science into big state decide.</w:t>
      </w:r>
    </w:p>
    <w:p>
      <w:r>
        <w:t>- At edge carry lawyer soldier talk.</w:t>
      </w:r>
    </w:p>
    <w:p>
      <w:r>
        <w:t>- High consumer bill religious.</w:t>
      </w:r>
    </w:p>
    <w:p>
      <w:r>
        <w:t>[1] Darryl Garner, Schwartz-Li (2009)</w:t>
      </w:r>
    </w:p>
    <w:p>
      <w:r>
        <w:t>Footnote: Resource project doctor.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