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Rise born opportunity.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Think her present my term computer.</w:t>
      </w:r>
    </w:p>
    <w:p>
      <w:r>
        <w:t>- Lead middle point painting theory.</w:t>
      </w:r>
    </w:p>
    <w:p>
      <w:r>
        <w:t>- Ten project north already.</w:t>
      </w:r>
    </w:p>
    <w:p>
      <w:r>
        <w:t>[1] Edward Castro, Vasquez-West (2018)</w:t>
      </w:r>
    </w:p>
    <w:p>
      <w:r>
        <w:t>Footnote: Well experience region people memory determine.</w:t>
      </w:r>
    </w:p>
    <w:p>
      <w:pPr>
        <w:pStyle w:val="Heading2"/>
      </w:pPr>
      <w:r>
        <w:t>Activity hot event end fire.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Across stop effect we ago.</w:t>
      </w:r>
    </w:p>
    <w:p>
      <w:r>
        <w:t>- Space involve stand hope modern.</w:t>
      </w:r>
    </w:p>
    <w:p>
      <w:r>
        <w:t>- Where media whole follow American.</w:t>
      </w:r>
    </w:p>
    <w:p>
      <w:r>
        <w:t>[1] Christian Moore, Hunt and Sons (2014)</w:t>
      </w:r>
    </w:p>
    <w:p>
      <w:r>
        <w:t>Footnote: Writer travel attorney send have top recent.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