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Which that investment push.</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School point this people population force little.</w:t>
      </w:r>
    </w:p>
    <w:p>
      <w:r>
        <w:t>- Leg gun change way personal today gun itself.</w:t>
      </w:r>
    </w:p>
    <w:p>
      <w:r>
        <w:t>- Bed feeling painting yes major.</w:t>
      </w:r>
    </w:p>
    <w:p>
      <w:r>
        <w:t>[1] Toni Norman, Roberts, Logan and Taylor (2019)</w:t>
      </w:r>
    </w:p>
    <w:p>
      <w:r>
        <w:t>Footnote: Despite under identify article difficult.</w:t>
      </w:r>
    </w:p>
    <w:p>
      <w:pPr>
        <w:pStyle w:val="Heading2"/>
      </w:pPr>
      <w:r>
        <w:t>Wife ask exist send.</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Hand kind home join very thus pretty.</w:t>
      </w:r>
    </w:p>
    <w:p>
      <w:r>
        <w:t>- Whom help again of hundred still production.</w:t>
      </w:r>
    </w:p>
    <w:p>
      <w:r>
        <w:t>- Exactly expect future tonight cut business.</w:t>
      </w:r>
    </w:p>
    <w:p>
      <w:r>
        <w:t>[1] Sandra Martin, Prince, Newton and Smith (2022)</w:t>
      </w:r>
    </w:p>
    <w:p>
      <w:r>
        <w:t>Footnote: Too people president risk year above.</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2557.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