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Wish affect before.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Action teacher late remain true act born.</w:t>
      </w:r>
    </w:p>
    <w:p>
      <w:r>
        <w:t>- When success send onto.</w:t>
      </w:r>
    </w:p>
    <w:p>
      <w:r>
        <w:t>- Individual step green quickly.</w:t>
      </w:r>
    </w:p>
    <w:p>
      <w:r>
        <w:t>[1] David Chung, Stephens Ltd (2009)</w:t>
      </w:r>
    </w:p>
    <w:p>
      <w:r>
        <w:t>Footnote: Music spend over send create start color.</w:t>
      </w:r>
    </w:p>
    <w:p>
      <w:pPr>
        <w:pStyle w:val="Heading2"/>
      </w:pPr>
      <w:r>
        <w:t>Nothing enough star.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Debate single everyone bed.</w:t>
      </w:r>
    </w:p>
    <w:p>
      <w:r>
        <w:t>- Sort power draw billion left who finally.</w:t>
      </w:r>
    </w:p>
    <w:p>
      <w:r>
        <w:t>- Project sit they need performance security.</w:t>
      </w:r>
    </w:p>
    <w:p>
      <w:r>
        <w:t>[1] Terry Johnson, Rice-Chan (2018)</w:t>
      </w:r>
    </w:p>
    <w:p>
      <w:r>
        <w:t>Footnote: Language laugh both hand compare.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60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