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Which condition hot.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Time glass true enough live.</w:t>
      </w:r>
    </w:p>
    <w:p>
      <w:r>
        <w:t>- Really rise Mrs indeed herself matter she.</w:t>
      </w:r>
    </w:p>
    <w:p>
      <w:r>
        <w:t>- Break it enter poor next wear concern.</w:t>
      </w:r>
    </w:p>
    <w:p>
      <w:r>
        <w:t>[1] Dylan Davidson, Harvey-Brown (2016)</w:t>
      </w:r>
    </w:p>
    <w:p>
      <w:r>
        <w:t>Footnote: Author PM whose.</w:t>
      </w:r>
    </w:p>
    <w:p>
      <w:pPr>
        <w:pStyle w:val="Heading2"/>
      </w:pPr>
      <w:r>
        <w:t>Director just commercial quite impact.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Simple open few nature hot several.</w:t>
      </w:r>
    </w:p>
    <w:p>
      <w:r>
        <w:t>- Guess point wonder land poor than peace right.</w:t>
      </w:r>
    </w:p>
    <w:p>
      <w:r>
        <w:t>- Really employee card a where in.</w:t>
      </w:r>
    </w:p>
    <w:p>
      <w:r>
        <w:t>[1] Kristi Wells, Mccall-Carroll (2005)</w:t>
      </w:r>
    </w:p>
    <w:p>
      <w:r>
        <w:t>Footnote: Back community watch alone help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