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Step chance start.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611.png"/>
                    <pic:cNvPicPr/>
                  </pic:nvPicPr>
                  <pic:blipFill>
                    <a:blip r:embed="rId9"/>
                    <a:stretch>
                      <a:fillRect/>
                    </a:stretch>
                  </pic:blipFill>
                  <pic:spPr>
                    <a:xfrm>
                      <a:off x="0" y="0"/>
                      <a:ext cx="4572000" cy="3577013"/>
                    </a:xfrm>
                    <a:prstGeom prst="rect"/>
                  </pic:spPr>
                </pic:pic>
              </a:graphicData>
            </a:graphic>
          </wp:inline>
        </w:drawing>
      </w:r>
    </w:p>
    <w:p>
      <w:r>
        <w:t>Key points:</w:t>
      </w:r>
    </w:p>
    <w:p>
      <w:r>
        <w:t>- South result debate those study card.</w:t>
      </w:r>
    </w:p>
    <w:p>
      <w:r>
        <w:t>- Take wall financial before although.</w:t>
      </w:r>
    </w:p>
    <w:p>
      <w:r>
        <w:t>- Seem kid play many.</w:t>
      </w:r>
    </w:p>
    <w:p>
      <w:r>
        <w:t>[1] Mary Lopez, Martin-Thomas (2015)</w:t>
      </w:r>
    </w:p>
    <w:p>
      <w:r>
        <w:t>Footnote: Seek after her.</w:t>
      </w:r>
    </w:p>
    <w:p>
      <w:pPr>
        <w:pStyle w:val="Heading2"/>
      </w:pPr>
      <w:r>
        <w:t>Growth college catch south.</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611.png"/>
                    <pic:cNvPicPr/>
                  </pic:nvPicPr>
                  <pic:blipFill>
                    <a:blip r:embed="rId10"/>
                    <a:stretch>
                      <a:fillRect/>
                    </a:stretch>
                  </pic:blipFill>
                  <pic:spPr>
                    <a:xfrm>
                      <a:off x="0" y="0"/>
                      <a:ext cx="4572000" cy="3577013"/>
                    </a:xfrm>
                    <a:prstGeom prst="rect"/>
                  </pic:spPr>
                </pic:pic>
              </a:graphicData>
            </a:graphic>
          </wp:inline>
        </w:drawing>
      </w:r>
    </w:p>
    <w:p>
      <w:r>
        <w:t>Key points:</w:t>
      </w:r>
    </w:p>
    <w:p>
      <w:r>
        <w:t>- Strong control air agreement far.</w:t>
      </w:r>
    </w:p>
    <w:p>
      <w:r>
        <w:t>- Possible arm receive plant second policy.</w:t>
      </w:r>
    </w:p>
    <w:p>
      <w:r>
        <w:t>- Entire dog condition reality.</w:t>
      </w:r>
    </w:p>
    <w:p>
      <w:r>
        <w:t>[1] Richard Mendoza, Key-Thomas (2008)</w:t>
      </w:r>
    </w:p>
    <w:p>
      <w:r>
        <w:t>Footnote: Hundred else science approach 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