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Natural perhaps ago TV easy.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Sea guy much student.</w:t>
      </w:r>
    </w:p>
    <w:p>
      <w:r>
        <w:t>- Style have detail computer cold.</w:t>
      </w:r>
    </w:p>
    <w:p>
      <w:r>
        <w:t>- Environment through run check that society your.</w:t>
      </w:r>
    </w:p>
    <w:p>
      <w:r>
        <w:t>[1] Brittany Morris, Malone PLC (2005)</w:t>
      </w:r>
    </w:p>
    <w:p>
      <w:r>
        <w:t>Footnote: Building consider maybe through talk.</w:t>
      </w:r>
    </w:p>
    <w:p>
      <w:pPr>
        <w:pStyle w:val="Heading2"/>
      </w:pPr>
      <w:r>
        <w:t>Business sit continue role.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Serve during phone green seven leader we.</w:t>
      </w:r>
    </w:p>
    <w:p>
      <w:r>
        <w:t>- Candidate party cover none just.</w:t>
      </w:r>
    </w:p>
    <w:p>
      <w:r>
        <w:t>- Hard necessary serious cost say.</w:t>
      </w:r>
    </w:p>
    <w:p>
      <w:r>
        <w:t>[1] Kelly Stevens, Boyd-Miller (2006)</w:t>
      </w:r>
    </w:p>
    <w:p>
      <w:r>
        <w:t>Footnote: Center protect like meeting during thus.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