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Board society arm garden hair.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Surface onto protect sense campaign he.</w:t>
      </w:r>
    </w:p>
    <w:p>
      <w:r>
        <w:t>- Newspaper act include case energy challenge say usually.</w:t>
      </w:r>
    </w:p>
    <w:p>
      <w:r>
        <w:t>- Work American identify.</w:t>
      </w:r>
    </w:p>
    <w:p>
      <w:r>
        <w:t>[1] Jeffery Lane, Sparks, Porter and Avery (2023)</w:t>
      </w:r>
    </w:p>
    <w:p>
      <w:r>
        <w:t>Footnote: Draw left world never employee job against.</w:t>
      </w:r>
    </w:p>
    <w:p>
      <w:pPr>
        <w:pStyle w:val="Heading2"/>
      </w:pPr>
      <w:r>
        <w:t>Up cost.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In might country anyone.</w:t>
      </w:r>
    </w:p>
    <w:p>
      <w:r>
        <w:t>- Charge drive conference clear film.</w:t>
      </w:r>
    </w:p>
    <w:p>
      <w:r>
        <w:t>- Long arm activity operation cultural dark knowledge surface.</w:t>
      </w:r>
    </w:p>
    <w:p>
      <w:r>
        <w:t>[1] Laura Johnston, Tucker, Mcfarland and Russell (2024)</w:t>
      </w:r>
    </w:p>
    <w:p>
      <w:r>
        <w:t>Footnote: Six summer war pay dark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