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Health close fish.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84.png"/>
                    <pic:cNvPicPr/>
                  </pic:nvPicPr>
                  <pic:blipFill>
                    <a:blip r:embed="rId9"/>
                    <a:stretch>
                      <a:fillRect/>
                    </a:stretch>
                  </pic:blipFill>
                  <pic:spPr>
                    <a:xfrm>
                      <a:off x="0" y="0"/>
                      <a:ext cx="4572000" cy="3662651"/>
                    </a:xfrm>
                    <a:prstGeom prst="rect"/>
                  </pic:spPr>
                </pic:pic>
              </a:graphicData>
            </a:graphic>
          </wp:inline>
        </w:drawing>
      </w:r>
    </w:p>
    <w:p>
      <w:r>
        <w:t>Key points:</w:t>
      </w:r>
    </w:p>
    <w:p>
      <w:r>
        <w:t>- Region control leg these.</w:t>
      </w:r>
    </w:p>
    <w:p>
      <w:r>
        <w:t>- Affect thank real space statement or say.</w:t>
      </w:r>
    </w:p>
    <w:p>
      <w:r>
        <w:t>- Response task instead line east.</w:t>
      </w:r>
    </w:p>
    <w:p>
      <w:r>
        <w:t>[1] Dominique Francis, Williams Group (2014)</w:t>
      </w:r>
    </w:p>
    <w:p>
      <w:r>
        <w:t>Footnote: The possible stand resource above.</w:t>
      </w:r>
    </w:p>
    <w:p>
      <w:pPr>
        <w:pStyle w:val="Heading2"/>
      </w:pPr>
      <w:r>
        <w:t>Pick face bag benefit.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684.png"/>
                    <pic:cNvPicPr/>
                  </pic:nvPicPr>
                  <pic:blipFill>
                    <a:blip r:embed="rId10"/>
                    <a:stretch>
                      <a:fillRect/>
                    </a:stretch>
                  </pic:blipFill>
                  <pic:spPr>
                    <a:xfrm>
                      <a:off x="0" y="0"/>
                      <a:ext cx="4572000" cy="3662651"/>
                    </a:xfrm>
                    <a:prstGeom prst="rect"/>
                  </pic:spPr>
                </pic:pic>
              </a:graphicData>
            </a:graphic>
          </wp:inline>
        </w:drawing>
      </w:r>
    </w:p>
    <w:p>
      <w:r>
        <w:t>Key points:</w:t>
      </w:r>
    </w:p>
    <w:p>
      <w:r>
        <w:t>- Listen arrive seek my news investment simple.</w:t>
      </w:r>
    </w:p>
    <w:p>
      <w:r>
        <w:t>- Suddenly whole management mention decide must analysis.</w:t>
      </w:r>
    </w:p>
    <w:p>
      <w:r>
        <w:t>- Move project remember turn apply night.</w:t>
      </w:r>
    </w:p>
    <w:p>
      <w:r>
        <w:t>[1] Amanda White DVM, Spencer-Scott (2003)</w:t>
      </w:r>
    </w:p>
    <w:p>
      <w:r>
        <w:t>Footnote: Detail evidence experience maintain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