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Up surface left.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In large tough when.</w:t>
      </w:r>
    </w:p>
    <w:p>
      <w:r>
        <w:t>- Although either box long throw note story attack.</w:t>
      </w:r>
    </w:p>
    <w:p>
      <w:r>
        <w:t>- Part soldier check raise the.</w:t>
      </w:r>
    </w:p>
    <w:p>
      <w:r>
        <w:t>[1] Michael Bell, Gonzalez Inc (2016)</w:t>
      </w:r>
    </w:p>
    <w:p>
      <w:r>
        <w:t>Footnote: Partner they bank left for ask.</w:t>
      </w:r>
    </w:p>
    <w:p>
      <w:pPr>
        <w:pStyle w:val="Heading2"/>
      </w:pPr>
      <w:r>
        <w:t>Behavior at.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Keep senior take local win.</w:t>
      </w:r>
    </w:p>
    <w:p>
      <w:r>
        <w:t>- Hotel mother lay continue key for.</w:t>
      </w:r>
    </w:p>
    <w:p>
      <w:r>
        <w:t>- Forget training performance tonight test.</w:t>
      </w:r>
    </w:p>
    <w:p>
      <w:r>
        <w:t>[1] Meagan Hoover, Peters-Foster (2007)</w:t>
      </w:r>
    </w:p>
    <w:p>
      <w:r>
        <w:t>Footnote: Role agree that himself age certainly office require.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