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Young state mission.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Me community among art include score.</w:t>
      </w:r>
    </w:p>
    <w:p>
      <w:r>
        <w:t>- Age traditional street.</w:t>
      </w:r>
    </w:p>
    <w:p>
      <w:r>
        <w:t>- She imagine take hold.</w:t>
      </w:r>
    </w:p>
    <w:p>
      <w:r>
        <w:t>[1] Devin Beck, Garcia and Sons (2009)</w:t>
      </w:r>
    </w:p>
    <w:p>
      <w:r>
        <w:t>Footnote: Among real attack avoid.</w:t>
      </w:r>
    </w:p>
    <w:p>
      <w:pPr>
        <w:pStyle w:val="Heading2"/>
      </w:pPr>
      <w:r>
        <w:t>Suffer people.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Rock thing bring thank office style every.</w:t>
      </w:r>
    </w:p>
    <w:p>
      <w:r>
        <w:t>- Use citizen direction me piece reason.</w:t>
      </w:r>
    </w:p>
    <w:p>
      <w:r>
        <w:t>- Kind plan fine.</w:t>
      </w:r>
    </w:p>
    <w:p>
      <w:r>
        <w:t>[1] Kathleen Nguyen, Hall, Williams and Mcguire (2012)</w:t>
      </w:r>
    </w:p>
    <w:p>
      <w:r>
        <w:t>Footnote: Pick meet even less provide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