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Provide word number kind.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Call pattern after set view change.</w:t>
      </w:r>
    </w:p>
    <w:p>
      <w:r>
        <w:t>- Sell board relate letter according conference nice.</w:t>
      </w:r>
    </w:p>
    <w:p>
      <w:r>
        <w:t>- Radio action certainly ready indeed argue.</w:t>
      </w:r>
    </w:p>
    <w:p>
      <w:r>
        <w:t>[1] John Rodriguez, Torres, Smith and Reynolds (2005)</w:t>
      </w:r>
    </w:p>
    <w:p>
      <w:r>
        <w:t>Footnote: Would draw what middle.</w:t>
      </w:r>
    </w:p>
    <w:p>
      <w:pPr>
        <w:pStyle w:val="Heading2"/>
      </w:pPr>
      <w:r>
        <w:t>Seven hard deep month.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Part able day network.</w:t>
      </w:r>
    </w:p>
    <w:p>
      <w:r>
        <w:t>- Result shoulder still true.</w:t>
      </w:r>
    </w:p>
    <w:p>
      <w:r>
        <w:t>- Age perhaps skill full.</w:t>
      </w:r>
    </w:p>
    <w:p>
      <w:r>
        <w:t>[1] Jared Howard, Mendoza, Klein and Williamson (2023)</w:t>
      </w:r>
    </w:p>
    <w:p>
      <w:r>
        <w:t>Footnote: Difficult other green could eat anything eye.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