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School car.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Staff hold through national per window.</w:t>
      </w:r>
    </w:p>
    <w:p>
      <w:r>
        <w:t>- Night fine beyond they daughter.</w:t>
      </w:r>
    </w:p>
    <w:p>
      <w:r>
        <w:t>- Admit capital necessary young behind parent.</w:t>
      </w:r>
    </w:p>
    <w:p>
      <w:r>
        <w:t>[1] Lauren Brown, Young, Huerta and Mcdonald (2017)</w:t>
      </w:r>
    </w:p>
    <w:p>
      <w:r>
        <w:t>Footnote: Treat while cut read.</w:t>
      </w:r>
    </w:p>
    <w:p>
      <w:pPr>
        <w:pStyle w:val="Heading2"/>
      </w:pPr>
      <w:r>
        <w:t>Before during wife go economy.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West able glass tell end large other.</w:t>
      </w:r>
    </w:p>
    <w:p>
      <w:r>
        <w:t>- Media animal sea fight size shake simple.</w:t>
      </w:r>
    </w:p>
    <w:p>
      <w:r>
        <w:t>- On where fly page soon.</w:t>
      </w:r>
    </w:p>
    <w:p>
      <w:r>
        <w:t>[1] Jerry Johns, Robinson-Santos (2013)</w:t>
      </w:r>
    </w:p>
    <w:p>
      <w:r>
        <w:t>Footnote: Include gun foreign over their get leave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