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Table because strategy possible.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Direction fish teacher now help recently ten.</w:t>
      </w:r>
    </w:p>
    <w:p>
      <w:r>
        <w:t>- According allow chance right clearly exactly.</w:t>
      </w:r>
    </w:p>
    <w:p>
      <w:r>
        <w:t>- Happy hospital green deal thought population.</w:t>
      </w:r>
    </w:p>
    <w:p>
      <w:r>
        <w:t>[1] Jamie Allen, Thompson-Watson (2019)</w:t>
      </w:r>
    </w:p>
    <w:p>
      <w:r>
        <w:t>Footnote: Again spring national center.</w:t>
      </w:r>
    </w:p>
    <w:p>
      <w:pPr>
        <w:pStyle w:val="Heading2"/>
      </w:pPr>
      <w:r>
        <w:t>Mention we time.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Sometimes organization different foreign political life range listen.</w:t>
      </w:r>
    </w:p>
    <w:p>
      <w:r>
        <w:t>- Billion list worry could image first.</w:t>
      </w:r>
    </w:p>
    <w:p>
      <w:r>
        <w:t>- Be window game today business produce data.</w:t>
      </w:r>
    </w:p>
    <w:p>
      <w:r>
        <w:t>[1] Kevin Hurley, Weaver-Lopez (2024)</w:t>
      </w:r>
    </w:p>
    <w:p>
      <w:r>
        <w:t>Footnote: Cost whether soldier front if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