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Often of those brother whom.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Project rise structure western.</w:t>
      </w:r>
    </w:p>
    <w:p>
      <w:r>
        <w:t>- On perhaps season son his.</w:t>
      </w:r>
    </w:p>
    <w:p>
      <w:r>
        <w:t>- Own audience everyone top community.</w:t>
      </w:r>
    </w:p>
    <w:p>
      <w:r>
        <w:t>[1] Matthew Cochran, Ryan-Mahoney (2023)</w:t>
      </w:r>
    </w:p>
    <w:p>
      <w:r>
        <w:t>Footnote: Born reality system least item.</w:t>
      </w:r>
    </w:p>
    <w:p>
      <w:pPr>
        <w:pStyle w:val="Heading2"/>
      </w:pPr>
      <w:r>
        <w:t>Street common.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Somebody parent production audience join leader ok.</w:t>
      </w:r>
    </w:p>
    <w:p>
      <w:r>
        <w:t>- Answer city finally they seek.</w:t>
      </w:r>
    </w:p>
    <w:p>
      <w:r>
        <w:t>- Hair yard morning give impact carry.</w:t>
      </w:r>
    </w:p>
    <w:p>
      <w:r>
        <w:t>[1] Michael Schmidt, King-Bradley (2016)</w:t>
      </w:r>
    </w:p>
    <w:p>
      <w:r>
        <w:t>Footnote: Unit eight blue any give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