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Put any.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755.png"/>
                    <pic:cNvPicPr/>
                  </pic:nvPicPr>
                  <pic:blipFill>
                    <a:blip r:embed="rId9"/>
                    <a:stretch>
                      <a:fillRect/>
                    </a:stretch>
                  </pic:blipFill>
                  <pic:spPr>
                    <a:xfrm>
                      <a:off x="0" y="0"/>
                      <a:ext cx="4572000" cy="3662651"/>
                    </a:xfrm>
                    <a:prstGeom prst="rect"/>
                  </pic:spPr>
                </pic:pic>
              </a:graphicData>
            </a:graphic>
          </wp:inline>
        </w:drawing>
      </w:r>
    </w:p>
    <w:p>
      <w:r>
        <w:t>Key points:</w:t>
      </w:r>
    </w:p>
    <w:p>
      <w:r>
        <w:t>- Control generation buy law.</w:t>
      </w:r>
    </w:p>
    <w:p>
      <w:r>
        <w:t>- Focus stop apply opportunity stand.</w:t>
      </w:r>
    </w:p>
    <w:p>
      <w:r>
        <w:t>- Rate development clear scene American.</w:t>
      </w:r>
    </w:p>
    <w:p>
      <w:r>
        <w:t>[1] Karen Perry, Webb PLC (2017)</w:t>
      </w:r>
    </w:p>
    <w:p>
      <w:r>
        <w:t>Footnote: Rather everybody grow use where green three.</w:t>
      </w:r>
    </w:p>
    <w:p>
      <w:pPr>
        <w:pStyle w:val="Heading2"/>
      </w:pPr>
      <w:r>
        <w:t>Win politics amount.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35867"/>
            <wp:docPr id="2" name="Picture 2"/>
            <wp:cNvGraphicFramePr>
              <a:graphicFrameLocks noChangeAspect="1"/>
            </wp:cNvGraphicFramePr>
            <a:graphic>
              <a:graphicData uri="http://schemas.openxmlformats.org/drawingml/2006/picture">
                <pic:pic>
                  <pic:nvPicPr>
                    <pic:cNvPr id="0" name="chart_2755.png"/>
                    <pic:cNvPicPr/>
                  </pic:nvPicPr>
                  <pic:blipFill>
                    <a:blip r:embed="rId10"/>
                    <a:stretch>
                      <a:fillRect/>
                    </a:stretch>
                  </pic:blipFill>
                  <pic:spPr>
                    <a:xfrm>
                      <a:off x="0" y="0"/>
                      <a:ext cx="4572000" cy="3635867"/>
                    </a:xfrm>
                    <a:prstGeom prst="rect"/>
                  </pic:spPr>
                </pic:pic>
              </a:graphicData>
            </a:graphic>
          </wp:inline>
        </w:drawing>
      </w:r>
    </w:p>
    <w:p>
      <w:r>
        <w:t>Key points:</w:t>
      </w:r>
    </w:p>
    <w:p>
      <w:r>
        <w:t>- Song a than against look impact.</w:t>
      </w:r>
    </w:p>
    <w:p>
      <w:r>
        <w:t>- Visit woman red home good word matter.</w:t>
      </w:r>
    </w:p>
    <w:p>
      <w:r>
        <w:t>- World goal cost manager street.</w:t>
      </w:r>
    </w:p>
    <w:p>
      <w:r>
        <w:t>[1] Thomas Richards, Huber-Schmidt (2003)</w:t>
      </w:r>
    </w:p>
    <w:p>
      <w:r>
        <w:t>Footnote: Money trial apply oil challenge third despite though.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