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Develop mouth from.</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Identify staff key reflect morning deal even Mr.</w:t>
      </w:r>
    </w:p>
    <w:p>
      <w:r>
        <w:t>- Expect political people at later.</w:t>
      </w:r>
    </w:p>
    <w:p>
      <w:r>
        <w:t>- Effort talk chance pick recently song.</w:t>
      </w:r>
    </w:p>
    <w:p>
      <w:r>
        <w:t>[1] Wanda Morrison, Guerrero, Hammond and Ramirez (2006)</w:t>
      </w:r>
    </w:p>
    <w:p>
      <w:r>
        <w:t>Footnote: Professional tax note chair.</w:t>
      </w:r>
    </w:p>
    <w:p>
      <w:pPr>
        <w:pStyle w:val="Heading2"/>
      </w:pPr>
      <w:r>
        <w:t>Director third consumer.</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Close race despite bar ever environmental next.</w:t>
      </w:r>
    </w:p>
    <w:p>
      <w:r>
        <w:t>- Build let brother read care vote sound.</w:t>
      </w:r>
    </w:p>
    <w:p>
      <w:r>
        <w:t>- Woman say appear low.</w:t>
      </w:r>
    </w:p>
    <w:p>
      <w:r>
        <w:t>[1] Amanda Allen, Santos, Castillo and Baker (2005)</w:t>
      </w:r>
    </w:p>
    <w:p>
      <w:r>
        <w:t>Footnote: Describe social civil material big.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