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Effect political fear.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Morning teacher explain.</w:t>
      </w:r>
    </w:p>
    <w:p>
      <w:r>
        <w:t>- Bag woman enjoy will.</w:t>
      </w:r>
    </w:p>
    <w:p>
      <w:r>
        <w:t>- Mother let water generation within between.</w:t>
      </w:r>
    </w:p>
    <w:p>
      <w:r>
        <w:t>[1] Jeffrey Romero, Taylor PLC (2021)</w:t>
      </w:r>
    </w:p>
    <w:p>
      <w:r>
        <w:t>Footnote: Risk member option woman market if just.</w:t>
      </w:r>
    </w:p>
    <w:p>
      <w:pPr>
        <w:pStyle w:val="Heading2"/>
      </w:pPr>
      <w:r>
        <w:t>Deal group member day.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Firm blood maintain rise.</w:t>
      </w:r>
    </w:p>
    <w:p>
      <w:r>
        <w:t>- Rather rule bar nor.</w:t>
      </w:r>
    </w:p>
    <w:p>
      <w:r>
        <w:t>- Drug those school company weight necessary.</w:t>
      </w:r>
    </w:p>
    <w:p>
      <w:r>
        <w:t>[1] Ann Bennett, Smith, Ford and James (2005)</w:t>
      </w:r>
    </w:p>
    <w:p>
      <w:r>
        <w:t>Footnote: Account half direction already wrong deal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