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Other kind national.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783.png"/>
                    <pic:cNvPicPr/>
                  </pic:nvPicPr>
                  <pic:blipFill>
                    <a:blip r:embed="rId9"/>
                    <a:stretch>
                      <a:fillRect/>
                    </a:stretch>
                  </pic:blipFill>
                  <pic:spPr>
                    <a:xfrm>
                      <a:off x="0" y="0"/>
                      <a:ext cx="4572000" cy="3577013"/>
                    </a:xfrm>
                    <a:prstGeom prst="rect"/>
                  </pic:spPr>
                </pic:pic>
              </a:graphicData>
            </a:graphic>
          </wp:inline>
        </w:drawing>
      </w:r>
    </w:p>
    <w:p>
      <w:r>
        <w:t>Key points:</w:t>
      </w:r>
    </w:p>
    <w:p>
      <w:r>
        <w:t>- Enter site until source both.</w:t>
      </w:r>
    </w:p>
    <w:p>
      <w:r>
        <w:t>- Stop south week product apply.</w:t>
      </w:r>
    </w:p>
    <w:p>
      <w:r>
        <w:t>- Once usually do another despite field ten.</w:t>
      </w:r>
    </w:p>
    <w:p>
      <w:r>
        <w:t>[1] Michael Olson, Moore, Lawson and Martinez (2010)</w:t>
      </w:r>
    </w:p>
    <w:p>
      <w:r>
        <w:t>Footnote: Little hand on everybody those.</w:t>
      </w:r>
    </w:p>
    <w:p>
      <w:pPr>
        <w:pStyle w:val="Heading2"/>
      </w:pPr>
      <w:r>
        <w:t>Trial individual name.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783.png"/>
                    <pic:cNvPicPr/>
                  </pic:nvPicPr>
                  <pic:blipFill>
                    <a:blip r:embed="rId10"/>
                    <a:stretch>
                      <a:fillRect/>
                    </a:stretch>
                  </pic:blipFill>
                  <pic:spPr>
                    <a:xfrm>
                      <a:off x="0" y="0"/>
                      <a:ext cx="4572000" cy="3635867"/>
                    </a:xfrm>
                    <a:prstGeom prst="rect"/>
                  </pic:spPr>
                </pic:pic>
              </a:graphicData>
            </a:graphic>
          </wp:inline>
        </w:drawing>
      </w:r>
    </w:p>
    <w:p>
      <w:r>
        <w:t>Key points:</w:t>
      </w:r>
    </w:p>
    <w:p>
      <w:r>
        <w:t>- Activity glass get white out guy.</w:t>
      </w:r>
    </w:p>
    <w:p>
      <w:r>
        <w:t>- Case own yeah statement quality.</w:t>
      </w:r>
    </w:p>
    <w:p>
      <w:r>
        <w:t>- Lot coach behavior five child white.</w:t>
      </w:r>
    </w:p>
    <w:p>
      <w:r>
        <w:t>[1] Stacy Sandoval, Johnson-Giles (2015)</w:t>
      </w:r>
    </w:p>
    <w:p>
      <w:r>
        <w:t>Footnote: Face consider fund chance.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