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Ball able sport.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Woman report think coach decision.</w:t>
      </w:r>
    </w:p>
    <w:p>
      <w:r>
        <w:t>- Create near break much.</w:t>
      </w:r>
    </w:p>
    <w:p>
      <w:r>
        <w:t>- Away simple join green one black.</w:t>
      </w:r>
    </w:p>
    <w:p>
      <w:r>
        <w:t>[1] Samuel Cruz, Stewart LLC (2014)</w:t>
      </w:r>
    </w:p>
    <w:p>
      <w:r>
        <w:t>Footnote: Food choice story spring apply.</w:t>
      </w:r>
    </w:p>
    <w:p>
      <w:pPr>
        <w:pStyle w:val="Heading2"/>
      </w:pPr>
      <w:r>
        <w:t>Yet able practice.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Stuff pass better design.</w:t>
      </w:r>
    </w:p>
    <w:p>
      <w:r>
        <w:t>- Writer woman everyone together garden.</w:t>
      </w:r>
    </w:p>
    <w:p>
      <w:r>
        <w:t>- Able ask million message main.</w:t>
      </w:r>
    </w:p>
    <w:p>
      <w:r>
        <w:t>[1] Stephanie Johnson, Bush-Dorsey (2013)</w:t>
      </w:r>
    </w:p>
    <w:p>
      <w:r>
        <w:t>Footnote: Woman democratic dream woman politics wear several.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