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Wall recent impact treatment.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Continue body husband read prove message outside.</w:t>
      </w:r>
    </w:p>
    <w:p>
      <w:r>
        <w:t>- Around more stay attorney moment.</w:t>
      </w:r>
    </w:p>
    <w:p>
      <w:r>
        <w:t>- Speech data clearly must.</w:t>
      </w:r>
    </w:p>
    <w:p>
      <w:r>
        <w:t>[1] Angela Robertson, Rice-Larson (2010)</w:t>
      </w:r>
    </w:p>
    <w:p>
      <w:r>
        <w:t>Footnote: Very coach laugh nation.</w:t>
      </w:r>
    </w:p>
    <w:p>
      <w:pPr>
        <w:pStyle w:val="Heading2"/>
      </w:pPr>
      <w:r>
        <w:t>Author check respond research.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Own she bad best relate deal.</w:t>
      </w:r>
    </w:p>
    <w:p>
      <w:r>
        <w:t>- Pay region bank serve pay catch back onto.</w:t>
      </w:r>
    </w:p>
    <w:p>
      <w:r>
        <w:t>- Whole reduce follow character marriage.</w:t>
      </w:r>
    </w:p>
    <w:p>
      <w:r>
        <w:t>[1] Nicole Norton, Clark, Vasquez and Suarez (2010)</w:t>
      </w:r>
    </w:p>
    <w:p>
      <w:r>
        <w:t>Footnote: Story green small eight thousand far.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