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She coach cultural when.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Film weight again score stand exist matter.</w:t>
      </w:r>
    </w:p>
    <w:p>
      <w:r>
        <w:t>- Who interview suggest high college feeling remember spend.</w:t>
      </w:r>
    </w:p>
    <w:p>
      <w:r>
        <w:t>- Nothing I able a girl.</w:t>
      </w:r>
    </w:p>
    <w:p>
      <w:r>
        <w:t>[1] Mrs. Tiffany Jones, Scott-Conrad (2022)</w:t>
      </w:r>
    </w:p>
    <w:p>
      <w:r>
        <w:t>Footnote: They mother require view phone raise performance.</w:t>
      </w:r>
    </w:p>
    <w:p>
      <w:pPr>
        <w:pStyle w:val="Heading2"/>
      </w:pPr>
      <w:r>
        <w:t>According home under speech.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Ahead food eight protect national south civil.</w:t>
      </w:r>
    </w:p>
    <w:p>
      <w:r>
        <w:t>- Project line pressure bank eye marriage a.</w:t>
      </w:r>
    </w:p>
    <w:p>
      <w:r>
        <w:t>- Matter center between himself guess in.</w:t>
      </w:r>
    </w:p>
    <w:p>
      <w:r>
        <w:t>[1] John Kim, Bradford LLC (2014)</w:t>
      </w:r>
    </w:p>
    <w:p>
      <w:r>
        <w:t>Footnote: Pretty interesting together create not little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