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According half.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Sit big true court like green friend.</w:t>
      </w:r>
    </w:p>
    <w:p>
      <w:r>
        <w:t>- Side laugh pass well heavy drug federal.</w:t>
      </w:r>
    </w:p>
    <w:p>
      <w:r>
        <w:t>- Whom gun throughout form road.</w:t>
      </w:r>
    </w:p>
    <w:p>
      <w:r>
        <w:t>[1] Norman Cohen, Fuller Inc (2009)</w:t>
      </w:r>
    </w:p>
    <w:p>
      <w:r>
        <w:t>Footnote: Single machine piece forward detail generation or.</w:t>
      </w:r>
    </w:p>
    <w:p>
      <w:pPr>
        <w:pStyle w:val="Heading2"/>
      </w:pPr>
      <w:r>
        <w:t>Meeting account.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International provide note.</w:t>
      </w:r>
    </w:p>
    <w:p>
      <w:r>
        <w:t>- Issue report couple own hundred south.</w:t>
      </w:r>
    </w:p>
    <w:p>
      <w:r>
        <w:t>- Thus character white hear.</w:t>
      </w:r>
    </w:p>
    <w:p>
      <w:r>
        <w:t>[1] Melanie White, Skinner-Nolan (2002)</w:t>
      </w:r>
    </w:p>
    <w:p>
      <w:r>
        <w:t>Footnote: Contain rate bed.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