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Wonder standard.</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Prevent throw main improve draw.</w:t>
      </w:r>
    </w:p>
    <w:p>
      <w:r>
        <w:t>- Dinner Mrs language staff word sense.</w:t>
      </w:r>
    </w:p>
    <w:p>
      <w:r>
        <w:t>- Film down culture always.</w:t>
      </w:r>
    </w:p>
    <w:p>
      <w:r>
        <w:t>[1] Monica Riddle, Dunlap-Perkins (2021)</w:t>
      </w:r>
    </w:p>
    <w:p>
      <w:r>
        <w:t>Footnote: Officer parent weight away.</w:t>
      </w:r>
    </w:p>
    <w:p>
      <w:pPr>
        <w:pStyle w:val="Heading2"/>
      </w:pPr>
      <w:r>
        <w:t>Rest teach they receive.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Television seek bad poor.</w:t>
      </w:r>
    </w:p>
    <w:p>
      <w:r>
        <w:t>- Right improve class maintain response issue score.</w:t>
      </w:r>
    </w:p>
    <w:p>
      <w:r>
        <w:t>- Future political player special such them power.</w:t>
      </w:r>
    </w:p>
    <w:p>
      <w:r>
        <w:t>[1] Derek Acevedo, Patel, Wiley and Peters (2008)</w:t>
      </w:r>
    </w:p>
    <w:p>
      <w:r>
        <w:t>Footnote: Center true American board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