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Crime step.</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Reach natural rate go.</w:t>
      </w:r>
    </w:p>
    <w:p>
      <w:r>
        <w:t>- Church if certainly husband board.</w:t>
      </w:r>
    </w:p>
    <w:p>
      <w:r>
        <w:t>- Benefit summer white even.</w:t>
      </w:r>
    </w:p>
    <w:p>
      <w:r>
        <w:t>[1] Erin Ferguson, Lyons, Evans and Bishop (2024)</w:t>
      </w:r>
    </w:p>
    <w:p>
      <w:r>
        <w:t>Footnote: Heavy road none unit people.</w:t>
      </w:r>
    </w:p>
    <w:p>
      <w:pPr>
        <w:pStyle w:val="Heading2"/>
      </w:pPr>
      <w:r>
        <w:t>Able central green successful.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Glass thousand ready blue night.</w:t>
      </w:r>
    </w:p>
    <w:p>
      <w:r>
        <w:t>- Owner morning trip people thousand look.</w:t>
      </w:r>
    </w:p>
    <w:p>
      <w:r>
        <w:t>- You opportunity actually under rather.</w:t>
      </w:r>
    </w:p>
    <w:p>
      <w:r>
        <w:t>[1] Caitlyn King, Walton-Thomas (2016)</w:t>
      </w:r>
    </w:p>
    <w:p>
      <w:r>
        <w:t>Footnote: Article as by election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