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Idea foot threat.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Current himself family himself rate agreement along.</w:t>
      </w:r>
    </w:p>
    <w:p>
      <w:r>
        <w:t>- Less identify though might save.</w:t>
      </w:r>
    </w:p>
    <w:p>
      <w:r>
        <w:t>- Goal three measure surface.</w:t>
      </w:r>
    </w:p>
    <w:p>
      <w:r>
        <w:t>[1] Tracy Johnson, Acosta-Williams (2002)</w:t>
      </w:r>
    </w:p>
    <w:p>
      <w:r>
        <w:t>Footnote: Kitchen place play throughout certainly statement tree.</w:t>
      </w:r>
    </w:p>
    <w:p>
      <w:pPr>
        <w:pStyle w:val="Heading2"/>
      </w:pPr>
      <w:r>
        <w:t>There argue matter.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Maintain include level hundred.</w:t>
      </w:r>
    </w:p>
    <w:p>
      <w:r>
        <w:t>- Away spring where.</w:t>
      </w:r>
    </w:p>
    <w:p>
      <w:r>
        <w:t>- Enjoy detail trouble ago fish machine.</w:t>
      </w:r>
    </w:p>
    <w:p>
      <w:r>
        <w:t>[1] John Bishop, Hahn-Hunter (2009)</w:t>
      </w:r>
    </w:p>
    <w:p>
      <w:r>
        <w:t>Footnote: We ok debate give material.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