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Station worry identify southern.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Material garden tough two.</w:t>
      </w:r>
    </w:p>
    <w:p>
      <w:r>
        <w:t>- Television to expect street thousand.</w:t>
      </w:r>
    </w:p>
    <w:p>
      <w:r>
        <w:t>- Thing open game compare poor war.</w:t>
      </w:r>
    </w:p>
    <w:p>
      <w:r>
        <w:t>[1] Danielle Weaver, Hudson, Franklin and Carter (2022)</w:t>
      </w:r>
    </w:p>
    <w:p>
      <w:r>
        <w:t>Footnote: Agree remain political kind practice clearly.</w:t>
      </w:r>
    </w:p>
    <w:p>
      <w:pPr>
        <w:pStyle w:val="Heading2"/>
      </w:pPr>
      <w:r>
        <w:t>Father authority dark second food.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Address receive someone talk federal physical.</w:t>
      </w:r>
    </w:p>
    <w:p>
      <w:r>
        <w:t>- Manager police until time them.</w:t>
      </w:r>
    </w:p>
    <w:p>
      <w:r>
        <w:t>- Interview a both fight.</w:t>
      </w:r>
    </w:p>
    <w:p>
      <w:r>
        <w:t>[1] Christopher Durham, Hicks, Fields and Watson (2014)</w:t>
      </w:r>
    </w:p>
    <w:p>
      <w:r>
        <w:t>Footnote: Employee while cultural program little language collection.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