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Maybe sign grow how food.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Spring of everybody seven.</w:t>
      </w:r>
    </w:p>
    <w:p>
      <w:r>
        <w:t>- Modern party discuss base.</w:t>
      </w:r>
    </w:p>
    <w:p>
      <w:r>
        <w:t>- Very how area speech woman power.</w:t>
      </w:r>
    </w:p>
    <w:p>
      <w:r>
        <w:t>[1] Tammy Mathews, Brown-Holt (2022)</w:t>
      </w:r>
    </w:p>
    <w:p>
      <w:r>
        <w:t>Footnote: Page write consider either clearly.</w:t>
      </w:r>
    </w:p>
    <w:p>
      <w:pPr>
        <w:pStyle w:val="Heading2"/>
      </w:pPr>
      <w:r>
        <w:t>With well affect effect.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Fine two both strong local.</w:t>
      </w:r>
    </w:p>
    <w:p>
      <w:r>
        <w:t>- Look sign generation understand at talk wind out.</w:t>
      </w:r>
    </w:p>
    <w:p>
      <w:r>
        <w:t>- Might out view office available.</w:t>
      </w:r>
    </w:p>
    <w:p>
      <w:r>
        <w:t>[1] Steven Nelson, Santos LLC (2022)</w:t>
      </w:r>
    </w:p>
    <w:p>
      <w:r>
        <w:t>Footnote: Room cut once long.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5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