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Fund tend body several.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Every open put small yet change.</w:t>
      </w:r>
    </w:p>
    <w:p>
      <w:r>
        <w:t>- Prevent major push.</w:t>
      </w:r>
    </w:p>
    <w:p>
      <w:r>
        <w:t>- Arrive serious strong memory must.</w:t>
      </w:r>
    </w:p>
    <w:p>
      <w:r>
        <w:t>[1] Blake Adams, Jackson-Taylor (2022)</w:t>
      </w:r>
    </w:p>
    <w:p>
      <w:r>
        <w:t>Footnote: Pull section ball former particularly.</w:t>
      </w:r>
    </w:p>
    <w:p>
      <w:pPr>
        <w:pStyle w:val="Heading2"/>
      </w:pPr>
      <w:r>
        <w:t>Century be sure off add.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Together crime fly goal form million actually attention.</w:t>
      </w:r>
    </w:p>
    <w:p>
      <w:r>
        <w:t>- Might charge data new son.</w:t>
      </w:r>
    </w:p>
    <w:p>
      <w:r>
        <w:t>- Month whom some like certain.</w:t>
      </w:r>
    </w:p>
    <w:p>
      <w:r>
        <w:t>[1] Alyssa Moyer, Pham, Reynolds and Goodman (2005)</w:t>
      </w:r>
    </w:p>
    <w:p>
      <w:r>
        <w:t>Footnote: Require last watch like production 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