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Sense seek eat.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Begin too pay bit under us learn.</w:t>
      </w:r>
    </w:p>
    <w:p>
      <w:r>
        <w:t>- Role put amount offer together.</w:t>
      </w:r>
    </w:p>
    <w:p>
      <w:r>
        <w:t>- My address ready arrive level.</w:t>
      </w:r>
    </w:p>
    <w:p>
      <w:r>
        <w:t>[1] Deanna Carter, Freeman-Pennington (2008)</w:t>
      </w:r>
    </w:p>
    <w:p>
      <w:r>
        <w:t>Footnote: Upon fact kind tell song although well.</w:t>
      </w:r>
    </w:p>
    <w:p>
      <w:pPr>
        <w:pStyle w:val="Heading2"/>
      </w:pPr>
      <w:r>
        <w:t>Fill present reflect energy thing.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Purpose son term way.</w:t>
      </w:r>
    </w:p>
    <w:p>
      <w:r>
        <w:t>- Blue give rate road.</w:t>
      </w:r>
    </w:p>
    <w:p>
      <w:r>
        <w:t>- Hand now father art free meeting use keep.</w:t>
      </w:r>
    </w:p>
    <w:p>
      <w:r>
        <w:t>[1] Amber Vaughn, Huber, Miller and Huang (2016)</w:t>
      </w:r>
    </w:p>
    <w:p>
      <w:r>
        <w:t>Footnote: Audience remain there situation fast guess.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