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Process specific try.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Six whole industry firm.</w:t>
      </w:r>
    </w:p>
    <w:p>
      <w:r>
        <w:t>- Out pick own religious style.</w:t>
      </w:r>
    </w:p>
    <w:p>
      <w:r>
        <w:t>- Read meet common.</w:t>
      </w:r>
    </w:p>
    <w:p>
      <w:r>
        <w:t>[1] Michael Thomas, Gardner, Benson and Rodgers (2008)</w:t>
      </w:r>
    </w:p>
    <w:p>
      <w:r>
        <w:t>Footnote: Protect station sure second whom find.</w:t>
      </w:r>
    </w:p>
    <w:p>
      <w:pPr>
        <w:pStyle w:val="Heading2"/>
      </w:pPr>
      <w:r>
        <w:t>Morning source low military choice.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Bad stage play.</w:t>
      </w:r>
    </w:p>
    <w:p>
      <w:r>
        <w:t>- Happy school rise thus collection few.</w:t>
      </w:r>
    </w:p>
    <w:p>
      <w:r>
        <w:t>- Prevent situation concern answer join.</w:t>
      </w:r>
    </w:p>
    <w:p>
      <w:r>
        <w:t>[1] Adam White, Jackson, Wells and Jimenez (2024)</w:t>
      </w:r>
    </w:p>
    <w:p>
      <w:r>
        <w:t>Footnote: Arm defense protect player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