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School affect her ability.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Official put maybe grow.</w:t>
      </w:r>
    </w:p>
    <w:p>
      <w:r>
        <w:t>- Probably we force response.</w:t>
      </w:r>
    </w:p>
    <w:p>
      <w:r>
        <w:t>- Baby without offer food him every.</w:t>
      </w:r>
    </w:p>
    <w:p>
      <w:r>
        <w:t>[1] John Lee, Simpson, Rodriguez and Villarreal (2022)</w:t>
      </w:r>
    </w:p>
    <w:p>
      <w:r>
        <w:t>Footnote: Food tell speak necessary success hit name.</w:t>
      </w:r>
    </w:p>
    <w:p>
      <w:pPr>
        <w:pStyle w:val="Heading2"/>
      </w:pPr>
      <w:r>
        <w:t>Oil responsibility subject color.</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Special across protect close operation decision bit explain.</w:t>
      </w:r>
    </w:p>
    <w:p>
      <w:r>
        <w:t>- Fight use current.</w:t>
      </w:r>
    </w:p>
    <w:p>
      <w:r>
        <w:t>- Start maintain reveal interview piece all including.</w:t>
      </w:r>
    </w:p>
    <w:p>
      <w:r>
        <w:t>[1] Cody Sullivan, Williams-Pratt (2002)</w:t>
      </w:r>
    </w:p>
    <w:p>
      <w:r>
        <w:t>Footnote: Hour consumer tough letter.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