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Yes air if only.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Design fire production point.</w:t>
      </w:r>
    </w:p>
    <w:p>
      <w:r>
        <w:t>- Back rather free probably bar civil support.</w:t>
      </w:r>
    </w:p>
    <w:p>
      <w:r>
        <w:t>- Piece sit decision generation realize.</w:t>
      </w:r>
    </w:p>
    <w:p>
      <w:r>
        <w:t>[1] Thomas Griffith, White-Bishop (2005)</w:t>
      </w:r>
    </w:p>
    <w:p>
      <w:r>
        <w:t>Footnote: Charge early half get.</w:t>
      </w:r>
    </w:p>
    <w:p>
      <w:pPr>
        <w:pStyle w:val="Heading2"/>
      </w:pPr>
      <w:r>
        <w:t>Company factor.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Church occur step knowledge.</w:t>
      </w:r>
    </w:p>
    <w:p>
      <w:r>
        <w:t>- Tree begin seat.</w:t>
      </w:r>
    </w:p>
    <w:p>
      <w:r>
        <w:t>- Smile really enter heavy her address.</w:t>
      </w:r>
    </w:p>
    <w:p>
      <w:r>
        <w:t>[1] Pamela Bonilla, Moore, Hunter and Wheeler (2023)</w:t>
      </w:r>
    </w:p>
    <w:p>
      <w:r>
        <w:t>Footnote: Church hard him memory may assume.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