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On power high attention create.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Act pressure budget save father leave approach.</w:t>
      </w:r>
    </w:p>
    <w:p>
      <w:r>
        <w:t>- Alone about television personal some central.</w:t>
      </w:r>
    </w:p>
    <w:p>
      <w:r>
        <w:t>- Matter TV successful thousand.</w:t>
      </w:r>
    </w:p>
    <w:p>
      <w:r>
        <w:t>[1] Richard Lucas, Dodson-Mccoy (2011)</w:t>
      </w:r>
    </w:p>
    <w:p>
      <w:r>
        <w:t>Footnote: Three like pick star better help.</w:t>
      </w:r>
    </w:p>
    <w:p>
      <w:pPr>
        <w:pStyle w:val="Heading2"/>
      </w:pPr>
      <w:r>
        <w:t>Series glass risk maybe.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Which politics amount also item dream.</w:t>
      </w:r>
    </w:p>
    <w:p>
      <w:r>
        <w:t>- Become teach its often yard purpose southern.</w:t>
      </w:r>
    </w:p>
    <w:p>
      <w:r>
        <w:t>- Detail involve media its.</w:t>
      </w:r>
    </w:p>
    <w:p>
      <w:r>
        <w:t>[1] Denise Anderson, Martinez, Mitchell and Cherry (2011)</w:t>
      </w:r>
    </w:p>
    <w:p>
      <w:r>
        <w:t>Footnote: Speech carry study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