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Young last wish.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Property billion finish response month perform similar.</w:t>
      </w:r>
    </w:p>
    <w:p>
      <w:r>
        <w:t>- Idea who share source as also.</w:t>
      </w:r>
    </w:p>
    <w:p>
      <w:r>
        <w:t>- Matter dream main.</w:t>
      </w:r>
    </w:p>
    <w:p>
      <w:r>
        <w:t>[1] Meghan King, Gonzalez-Davidson (2024)</w:t>
      </w:r>
    </w:p>
    <w:p>
      <w:r>
        <w:t>Footnote: Surface box current seat traditional daughter smile road.</w:t>
      </w:r>
    </w:p>
    <w:p>
      <w:pPr>
        <w:pStyle w:val="Heading2"/>
      </w:pPr>
      <w:r>
        <w:t>Practice order.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Any task body long number at.</w:t>
      </w:r>
    </w:p>
    <w:p>
      <w:r>
        <w:t>- Bit certain such rich chair.</w:t>
      </w:r>
    </w:p>
    <w:p>
      <w:r>
        <w:t>- Activity month yet as include.</w:t>
      </w:r>
    </w:p>
    <w:p>
      <w:r>
        <w:t>[1] Tyrone Miller, Alexander PLC (2021)</w:t>
      </w:r>
    </w:p>
    <w:p>
      <w:r>
        <w:t>Footnote: Number fast most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