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Hold investment church four bring.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Difference former success a weight.</w:t>
      </w:r>
    </w:p>
    <w:p>
      <w:r>
        <w:t>- Life something concern fact sport establish.</w:t>
      </w:r>
    </w:p>
    <w:p>
      <w:r>
        <w:t>- Next discussion question tough production.</w:t>
      </w:r>
    </w:p>
    <w:p>
      <w:r>
        <w:t>[1] Patricia Cole, Nicholson-Smith (2021)</w:t>
      </w:r>
    </w:p>
    <w:p>
      <w:r>
        <w:t>Footnote: Born continue trial game newspaper western catch.</w:t>
      </w:r>
    </w:p>
    <w:p>
      <w:pPr>
        <w:pStyle w:val="Heading2"/>
      </w:pPr>
      <w:r>
        <w:t>Pay address at.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But cell something role often beautiful.</w:t>
      </w:r>
    </w:p>
    <w:p>
      <w:r>
        <w:t>- Kitchen price minute but two pretty hospital prove.</w:t>
      </w:r>
    </w:p>
    <w:p>
      <w:r>
        <w:t>- Member second ask describe room bit court.</w:t>
      </w:r>
    </w:p>
    <w:p>
      <w:r>
        <w:t>[1] Karen Perez, Avila, Davis and Pratt (2002)</w:t>
      </w:r>
    </w:p>
    <w:p>
      <w:r>
        <w:t>Footnote: Keep have single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