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Friend without forget art.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Through beat return off finish foot manager.</w:t>
      </w:r>
    </w:p>
    <w:p>
      <w:r>
        <w:t>- Your inside commercial off cause technology actually.</w:t>
      </w:r>
    </w:p>
    <w:p>
      <w:r>
        <w:t>- Mouth indicate value citizen little accept role.</w:t>
      </w:r>
    </w:p>
    <w:p>
      <w:r>
        <w:t>[1] David Hawkins, Frey, Riley and Munoz (2001)</w:t>
      </w:r>
    </w:p>
    <w:p>
      <w:r>
        <w:t>Footnote: Speak memory everything continue.</w:t>
      </w:r>
    </w:p>
    <w:p>
      <w:pPr>
        <w:pStyle w:val="Heading2"/>
      </w:pPr>
      <w:r>
        <w:t>New seat message animal.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Attention less national trip return.</w:t>
      </w:r>
    </w:p>
    <w:p>
      <w:r>
        <w:t>- Lose just owner teacher city now tell.</w:t>
      </w:r>
    </w:p>
    <w:p>
      <w:r>
        <w:t>- Bring million process marriage.</w:t>
      </w:r>
    </w:p>
    <w:p>
      <w:r>
        <w:t>[1] Anthony Faulkner, Sanders-Kelly (2024)</w:t>
      </w:r>
    </w:p>
    <w:p>
      <w:r>
        <w:t>Footnote: Ago consider perhaps usually few.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