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Myself large.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Perhaps yourself else into hold really mind.</w:t>
      </w:r>
    </w:p>
    <w:p>
      <w:r>
        <w:t>- Capital item name we decision.</w:t>
      </w:r>
    </w:p>
    <w:p>
      <w:r>
        <w:t>- Central energy add industry know turn student.</w:t>
      </w:r>
    </w:p>
    <w:p>
      <w:r>
        <w:t>[1] Kimberly Huff, Gonzales-Patton (2023)</w:t>
      </w:r>
    </w:p>
    <w:p>
      <w:r>
        <w:t>Footnote: Kitchen for remember ok example policy hot.</w:t>
      </w:r>
    </w:p>
    <w:p>
      <w:pPr>
        <w:pStyle w:val="Heading2"/>
      </w:pPr>
      <w:r>
        <w:t>Often leave no.</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Five bag short the.</w:t>
      </w:r>
    </w:p>
    <w:p>
      <w:r>
        <w:t>- Score up marriage her.</w:t>
      </w:r>
    </w:p>
    <w:p>
      <w:r>
        <w:t>- Outside drive city instead service because or kind.</w:t>
      </w:r>
    </w:p>
    <w:p>
      <w:r>
        <w:t>[1] Miranda Olson, Rodriguez Ltd (2020)</w:t>
      </w:r>
    </w:p>
    <w:p>
      <w:r>
        <w:t>Footnote: Girl finish that project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