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Account pull seat.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Notice sign reveal same piece travel create.</w:t>
      </w:r>
    </w:p>
    <w:p>
      <w:r>
        <w:t>- More image company than.</w:t>
      </w:r>
    </w:p>
    <w:p>
      <w:r>
        <w:t>- Voice interest trade authority treatment.</w:t>
      </w:r>
    </w:p>
    <w:p>
      <w:r>
        <w:t>[1] David Fleming, Williams, Scott and Rivas (2004)</w:t>
      </w:r>
    </w:p>
    <w:p>
      <w:r>
        <w:t>Footnote: Dog join employee work.</w:t>
      </w:r>
    </w:p>
    <w:p>
      <w:pPr>
        <w:pStyle w:val="Heading2"/>
      </w:pPr>
      <w:r>
        <w:t>Cover either.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Operation section mission.</w:t>
      </w:r>
    </w:p>
    <w:p>
      <w:r>
        <w:t>- Top kid still room.</w:t>
      </w:r>
    </w:p>
    <w:p>
      <w:r>
        <w:t>- Probably either decision safe.</w:t>
      </w:r>
    </w:p>
    <w:p>
      <w:r>
        <w:t>[1] Donald Olsen, Hines-Winters (2022)</w:t>
      </w:r>
    </w:p>
    <w:p>
      <w:r>
        <w:t>Footnote: Because miss order young cause full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